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5B4" w:rsidRDefault="00317CDD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#103bis</w:t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</w:t>
      </w:r>
      <w:r w:rsidR="00BC7566">
        <w:rPr>
          <w:rFonts w:cs="Arial"/>
          <w:b/>
          <w:bCs/>
          <w:sz w:val="24"/>
          <w:szCs w:val="22"/>
        </w:rPr>
        <w:t>1813726</w:t>
      </w:r>
    </w:p>
    <w:p w:rsidR="007D15B4" w:rsidRDefault="00317CDD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  <w:lang w:eastAsia="zh-CN"/>
        </w:rPr>
        <w:t>Chengdu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/>
          <w:b/>
          <w:bCs/>
          <w:sz w:val="24"/>
          <w:szCs w:val="22"/>
          <w:lang w:eastAsia="zh-CN"/>
        </w:rPr>
        <w:t>China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8</w:t>
      </w:r>
      <w:r>
        <w:rPr>
          <w:rFonts w:cs="Arial"/>
          <w:b/>
          <w:bCs/>
          <w:sz w:val="24"/>
          <w:szCs w:val="22"/>
        </w:rPr>
        <w:t xml:space="preserve"> -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12</w:t>
      </w:r>
      <w:r>
        <w:rPr>
          <w:rFonts w:cs="Arial"/>
          <w:b/>
          <w:bCs/>
          <w:sz w:val="24"/>
          <w:szCs w:val="22"/>
        </w:rPr>
        <w:t xml:space="preserve"> </w:t>
      </w:r>
      <w:r>
        <w:rPr>
          <w:rFonts w:cs="Arial"/>
          <w:b/>
          <w:bCs/>
          <w:sz w:val="24"/>
          <w:szCs w:val="22"/>
          <w:lang w:eastAsia="zh-CN"/>
        </w:rPr>
        <w:t>October</w:t>
      </w:r>
      <w:r>
        <w:rPr>
          <w:rFonts w:cs="Arial"/>
          <w:b/>
          <w:bCs/>
          <w:sz w:val="24"/>
          <w:szCs w:val="22"/>
        </w:rPr>
        <w:t>, 2018</w:t>
      </w:r>
    </w:p>
    <w:p w:rsidR="007D15B4" w:rsidRDefault="007D15B4">
      <w:pPr>
        <w:pStyle w:val="aa"/>
        <w:rPr>
          <w:bCs/>
          <w:sz w:val="24"/>
        </w:rPr>
      </w:pPr>
    </w:p>
    <w:p w:rsidR="007D15B4" w:rsidRDefault="00317CD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11.2.2.2</w:t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</w:p>
    <w:p w:rsidR="007D15B4" w:rsidRDefault="00317CD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:rsidR="007D15B4" w:rsidRDefault="00317CD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szCs w:val="22"/>
          <w:lang w:val="en-US" w:eastAsia="zh-CN"/>
        </w:rPr>
        <w:t>Consideration on mobility enhancement for N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R-U</w:t>
      </w:r>
    </w:p>
    <w:p w:rsidR="007D15B4" w:rsidRDefault="00317CD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7D15B4" w:rsidRDefault="00317CDD">
      <w:pPr>
        <w:pStyle w:val="1"/>
      </w:pPr>
      <w:r>
        <w:t>1</w:t>
      </w:r>
      <w:r>
        <w:rPr>
          <w:rFonts w:eastAsia="宋体" w:hint="eastAsia"/>
          <w:lang w:val="en-US" w:eastAsia="zh-CN"/>
        </w:rPr>
        <w:t xml:space="preserve"> </w:t>
      </w:r>
      <w:r>
        <w:t>Introduction</w:t>
      </w:r>
    </w:p>
    <w:p w:rsidR="007D15B4" w:rsidRDefault="00317CDD">
      <w:pPr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t>In RAN2#103[1], a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email discussion</w:t>
      </w:r>
      <w:bookmarkStart w:id="0" w:name="_GoBack"/>
      <w:bookmarkEnd w:id="0"/>
      <w:r>
        <w:rPr>
          <w:rFonts w:eastAsia="宋体" w:hint="eastAsia"/>
          <w:lang w:val="en-US" w:eastAsia="zh-CN"/>
        </w:rPr>
        <w:t xml:space="preserve">[2] as follows is </w:t>
      </w:r>
      <w:r>
        <w:rPr>
          <w:rFonts w:eastAsia="宋体"/>
          <w:szCs w:val="22"/>
          <w:lang w:val="en-US" w:eastAsia="zh-CN"/>
        </w:rPr>
        <w:t xml:space="preserve">launched </w:t>
      </w:r>
      <w:r>
        <w:rPr>
          <w:rFonts w:eastAsia="宋体" w:hint="eastAsia"/>
          <w:lang w:val="en-US" w:eastAsia="zh-CN"/>
        </w:rPr>
        <w:t>to identity the</w:t>
      </w:r>
      <w:r>
        <w:t xml:space="preserve"> NR-U</w:t>
      </w:r>
      <w:r>
        <w:rPr>
          <w:rFonts w:eastAsia="宋体" w:hint="eastAsia"/>
          <w:lang w:val="en-US" w:eastAsia="zh-CN"/>
        </w:rPr>
        <w:t xml:space="preserve"> </w:t>
      </w:r>
      <w:r>
        <w:t>specific challenge</w:t>
      </w:r>
      <w:r>
        <w:rPr>
          <w:rFonts w:eastAsia="宋体" w:hint="eastAsia"/>
          <w:lang w:val="en-US" w:eastAsia="zh-CN"/>
        </w:rPr>
        <w:t>s of the connected mode mobility.</w:t>
      </w:r>
    </w:p>
    <w:tbl>
      <w:tblPr>
        <w:tblW w:w="8470" w:type="dxa"/>
        <w:tblInd w:w="1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0"/>
      </w:tblGrid>
      <w:tr w:rsidR="007D15B4">
        <w:tc>
          <w:tcPr>
            <w:tcW w:w="8470" w:type="dxa"/>
          </w:tcPr>
          <w:p w:rsidR="007D15B4" w:rsidRDefault="00317CDD">
            <w:pPr>
              <w:pStyle w:val="Doc-title"/>
              <w:spacing w:before="120" w:after="120"/>
            </w:pPr>
            <w:r>
              <w:t>[103#56][NR-U] Connected Mode Mobility (Interdigital)</w:t>
            </w:r>
          </w:p>
          <w:p w:rsidR="007D15B4" w:rsidRDefault="00317CDD">
            <w:pPr>
              <w:pStyle w:val="Doc-title"/>
              <w:spacing w:before="120" w:after="120"/>
              <w:ind w:left="239" w:hanging="239"/>
            </w:pPr>
            <w:r>
              <w:tab/>
              <w:t>Intended outcome: Report. Description of Connected Mode Mobility Cases and Challenge</w:t>
            </w:r>
            <w:r>
              <w:t>s for NR-U, Tentative Solutions except those covered in the NR Mobility WI, and their expected benefits. Identify Agreeable TP and items for further study.</w:t>
            </w:r>
          </w:p>
          <w:p w:rsidR="007D15B4" w:rsidRDefault="00317CDD">
            <w:pPr>
              <w:pStyle w:val="Doc-title"/>
              <w:spacing w:before="120" w:after="120"/>
              <w:ind w:left="239" w:hanging="239"/>
            </w:pPr>
            <w:r>
              <w:tab/>
              <w:t>Deadline: Next Meeting</w:t>
            </w:r>
          </w:p>
        </w:tc>
      </w:tr>
    </w:tbl>
    <w:p w:rsidR="007D15B4" w:rsidRDefault="007D15B4">
      <w:pPr>
        <w:jc w:val="both"/>
        <w:rPr>
          <w:rFonts w:eastAsia="宋体"/>
          <w:lang w:val="en-US" w:eastAsia="zh-CN"/>
        </w:rPr>
      </w:pPr>
    </w:p>
    <w:p w:rsidR="007D15B4" w:rsidRDefault="00317CD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Moreover, the </w:t>
      </w:r>
      <w:r>
        <w:rPr>
          <w:rFonts w:eastAsia="宋体" w:hint="eastAsia"/>
          <w:szCs w:val="22"/>
          <w:lang w:val="en-US" w:eastAsia="zh-CN"/>
        </w:rPr>
        <w:t xml:space="preserve">additional delay for control plane signaling due to LBT may </w:t>
      </w:r>
      <w:r>
        <w:rPr>
          <w:rFonts w:eastAsia="宋体" w:hint="eastAsia"/>
          <w:szCs w:val="22"/>
          <w:lang w:val="en-US" w:eastAsia="zh-CN"/>
        </w:rPr>
        <w:t>result in handover failure, so, a q</w:t>
      </w:r>
      <w:r>
        <w:rPr>
          <w:bCs/>
        </w:rPr>
        <w:t xml:space="preserve">uestion </w:t>
      </w:r>
      <w:r>
        <w:rPr>
          <w:rFonts w:eastAsia="宋体" w:hint="eastAsia"/>
          <w:bCs/>
          <w:lang w:val="en-US" w:eastAsia="zh-CN"/>
        </w:rPr>
        <w:t>is raised as follows</w:t>
      </w:r>
    </w:p>
    <w:p w:rsidR="007D15B4" w:rsidRDefault="00317CDD">
      <w:pPr>
        <w:ind w:left="1418" w:hanging="1418"/>
        <w:rPr>
          <w:b/>
        </w:rPr>
      </w:pPr>
      <w:r>
        <w:rPr>
          <w:b/>
        </w:rPr>
        <w:t xml:space="preserve">Question 2.3: </w:t>
      </w:r>
      <w:r>
        <w:rPr>
          <w:b/>
        </w:rPr>
        <w:tab/>
        <w:t>Do you agree that one NR-U specific mobility challenge is the impact of LBT on the transmission latency of the control plane signalling for mobility-related procedures?</w:t>
      </w:r>
    </w:p>
    <w:p w:rsidR="007D15B4" w:rsidRDefault="00317CDD">
      <w:pPr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In this </w:t>
      </w:r>
      <w:r>
        <w:rPr>
          <w:rFonts w:eastAsia="宋体" w:hint="eastAsia"/>
          <w:szCs w:val="22"/>
          <w:lang w:val="en-US" w:eastAsia="zh-CN"/>
        </w:rPr>
        <w:t xml:space="preserve">contribution, we will discuss the handover enhancements on NR-U together with NR, </w:t>
      </w:r>
      <w:r>
        <w:t xml:space="preserve">and then we propose </w:t>
      </w:r>
      <w:r>
        <w:rPr>
          <w:rFonts w:eastAsia="宋体" w:hint="eastAsia"/>
          <w:lang w:val="en-US" w:eastAsia="zh-CN"/>
        </w:rPr>
        <w:t>the work plan</w:t>
      </w:r>
      <w:r>
        <w:t>.</w:t>
      </w:r>
    </w:p>
    <w:p w:rsidR="007D15B4" w:rsidRDefault="00317CDD">
      <w:pPr>
        <w:pStyle w:val="1"/>
        <w:numPr>
          <w:ilvl w:val="0"/>
          <w:numId w:val="3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Discussion</w:t>
      </w:r>
    </w:p>
    <w:p w:rsidR="007D15B4" w:rsidRDefault="00317CD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NR, </w:t>
      </w:r>
      <w:r>
        <w:rPr>
          <w:rFonts w:eastAsia="宋体" w:hint="eastAsia"/>
          <w:lang w:val="en-US" w:eastAsia="zh-CN"/>
        </w:rPr>
        <w:t xml:space="preserve">in RAN#80, an WI[3] about </w:t>
      </w:r>
      <w:r>
        <w:t>NR mobility enhancements</w:t>
      </w:r>
      <w:r>
        <w:rPr>
          <w:rFonts w:eastAsia="宋体" w:hint="eastAsia"/>
          <w:lang w:val="en-US" w:eastAsia="zh-CN"/>
        </w:rPr>
        <w:t xml:space="preserve"> is approved as follows. </w:t>
      </w:r>
      <w:r>
        <w:rPr>
          <w:rFonts w:cs="Calibri" w:hint="eastAsia"/>
          <w:szCs w:val="22"/>
          <w:lang w:val="en-US" w:eastAsia="zh-CN"/>
        </w:rPr>
        <w:t>Some enhancements will be discussed in Rel-</w:t>
      </w:r>
      <w:r>
        <w:rPr>
          <w:rFonts w:cs="Calibri" w:hint="eastAsia"/>
          <w:szCs w:val="22"/>
          <w:lang w:val="en-US" w:eastAsia="zh-CN"/>
        </w:rPr>
        <w:t xml:space="preserve">16 NR, for example: </w:t>
      </w:r>
      <w:r>
        <w:rPr>
          <w:rFonts w:eastAsia="宋体"/>
          <w:szCs w:val="22"/>
          <w:lang w:val="en-US" w:eastAsia="zh-CN"/>
        </w:rPr>
        <w:t xml:space="preserve">Conditional </w:t>
      </w:r>
      <w:r>
        <w:rPr>
          <w:rFonts w:hint="eastAsia"/>
          <w:szCs w:val="22"/>
          <w:lang w:val="en-US" w:eastAsia="ja-JP"/>
        </w:rPr>
        <w:t>handover</w:t>
      </w:r>
      <w:r>
        <w:rPr>
          <w:rFonts w:cs="Calibri" w:hint="eastAsia"/>
          <w:szCs w:val="22"/>
          <w:lang w:val="en-US" w:eastAsia="zh-CN"/>
        </w:rPr>
        <w:t xml:space="preserve">, RACH-less handover and </w:t>
      </w:r>
      <w:r>
        <w:rPr>
          <w:rFonts w:cs="Calibri" w:hint="eastAsia"/>
          <w:szCs w:val="22"/>
          <w:lang w:val="en-US" w:eastAsia="ja-JP"/>
        </w:rPr>
        <w:t>Fast handover failure recovery</w:t>
      </w:r>
      <w:r>
        <w:rPr>
          <w:rFonts w:eastAsia="宋体" w:cs="Calibri" w:hint="eastAsia"/>
          <w:szCs w:val="22"/>
          <w:lang w:val="en-US" w:eastAsia="zh-CN"/>
        </w:rPr>
        <w:t>.</w:t>
      </w:r>
    </w:p>
    <w:tbl>
      <w:tblPr>
        <w:tblStyle w:val="ae"/>
        <w:tblW w:w="9609" w:type="dxa"/>
        <w:tblLayout w:type="fixed"/>
        <w:tblLook w:val="04A0" w:firstRow="1" w:lastRow="0" w:firstColumn="1" w:lastColumn="0" w:noHBand="0" w:noVBand="1"/>
      </w:tblPr>
      <w:tblGrid>
        <w:gridCol w:w="9609"/>
      </w:tblGrid>
      <w:tr w:rsidR="007D15B4">
        <w:tc>
          <w:tcPr>
            <w:tcW w:w="9609" w:type="dxa"/>
          </w:tcPr>
          <w:p w:rsidR="007D15B4" w:rsidRDefault="00317CDD">
            <w:pPr>
              <w:pStyle w:val="B1"/>
              <w:widowControl/>
              <w:spacing w:after="0"/>
              <w:ind w:left="0" w:firstLine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The following objective are considered in this WI:</w:t>
            </w:r>
          </w:p>
          <w:p w:rsidR="007D15B4" w:rsidRDefault="00317CDD">
            <w:pPr>
              <w:pStyle w:val="B1"/>
              <w:widowControl/>
              <w:numPr>
                <w:ilvl w:val="0"/>
                <w:numId w:val="4"/>
              </w:numPr>
              <w:spacing w:after="0"/>
              <w:rPr>
                <w:i/>
                <w:iCs/>
                <w:lang w:val="en-US" w:eastAsia="ja-JP"/>
              </w:rPr>
            </w:pPr>
            <w:r>
              <w:rPr>
                <w:i/>
                <w:iCs/>
                <w:lang w:val="en-US" w:eastAsia="ja-JP"/>
              </w:rPr>
              <w:t xml:space="preserve">To study solution(s) to reduce interruption time during HO/SCG change focusing on the following identified solutions but not limited. </w:t>
            </w:r>
          </w:p>
          <w:p w:rsidR="007D15B4" w:rsidRDefault="00317CDD">
            <w:pPr>
              <w:pStyle w:val="B1"/>
              <w:widowControl/>
              <w:numPr>
                <w:ilvl w:val="1"/>
                <w:numId w:val="4"/>
              </w:numPr>
              <w:spacing w:after="0"/>
              <w:rPr>
                <w:i/>
                <w:iCs/>
                <w:lang w:val="en-US" w:eastAsia="ja-JP"/>
              </w:rPr>
            </w:pPr>
            <w:r>
              <w:rPr>
                <w:i/>
                <w:iCs/>
                <w:lang w:eastAsia="ja-JP"/>
              </w:rPr>
              <w:t xml:space="preserve">Handover/SCG change with simultaneous connectivity with source cell and target cell. </w:t>
            </w:r>
          </w:p>
          <w:p w:rsidR="007D15B4" w:rsidRDefault="00317CDD">
            <w:pPr>
              <w:pStyle w:val="B1"/>
              <w:widowControl/>
              <w:numPr>
                <w:ilvl w:val="1"/>
                <w:numId w:val="4"/>
              </w:numPr>
              <w:spacing w:after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Make-before-break </w:t>
            </w:r>
          </w:p>
          <w:p w:rsidR="007D15B4" w:rsidRDefault="00317CDD">
            <w:pPr>
              <w:pStyle w:val="B1"/>
              <w:widowControl/>
              <w:numPr>
                <w:ilvl w:val="1"/>
                <w:numId w:val="4"/>
              </w:numPr>
              <w:spacing w:after="0"/>
              <w:rPr>
                <w:i/>
                <w:iCs/>
                <w:lang w:eastAsia="ja-JP"/>
              </w:rPr>
            </w:pPr>
            <w:r>
              <w:rPr>
                <w:rFonts w:cs="Calibri"/>
                <w:bCs/>
                <w:i/>
                <w:iCs/>
                <w:lang w:eastAsia="zh-CN"/>
              </w:rPr>
              <w:t>RACH-less handov</w:t>
            </w:r>
            <w:r>
              <w:rPr>
                <w:rFonts w:cs="Calibri"/>
                <w:bCs/>
                <w:i/>
                <w:iCs/>
                <w:lang w:eastAsia="zh-CN"/>
              </w:rPr>
              <w:t xml:space="preserve">er </w:t>
            </w:r>
          </w:p>
          <w:p w:rsidR="007D15B4" w:rsidRDefault="00317CDD">
            <w:pPr>
              <w:pStyle w:val="B1"/>
              <w:widowControl/>
              <w:numPr>
                <w:ilvl w:val="0"/>
                <w:numId w:val="4"/>
              </w:numPr>
              <w:spacing w:after="0"/>
              <w:rPr>
                <w:i/>
                <w:iCs/>
                <w:lang w:val="en-US" w:eastAsia="ja-JP"/>
              </w:rPr>
            </w:pPr>
            <w:r>
              <w:rPr>
                <w:i/>
                <w:iCs/>
                <w:lang w:val="en-US"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:rsidR="007D15B4" w:rsidRDefault="00317CDD">
            <w:pPr>
              <w:pStyle w:val="B1"/>
              <w:widowControl/>
              <w:numPr>
                <w:ilvl w:val="1"/>
                <w:numId w:val="4"/>
              </w:numPr>
              <w:spacing w:after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Conditional handover </w:t>
            </w:r>
          </w:p>
          <w:p w:rsidR="007D15B4" w:rsidRDefault="00317CDD">
            <w:pPr>
              <w:pStyle w:val="B1"/>
              <w:widowControl/>
              <w:numPr>
                <w:ilvl w:val="1"/>
                <w:numId w:val="4"/>
              </w:numPr>
              <w:spacing w:after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Fast handover failure recovery </w:t>
            </w:r>
          </w:p>
          <w:p w:rsidR="007D15B4" w:rsidRDefault="00317CDD">
            <w:pPr>
              <w:pStyle w:val="B1"/>
              <w:widowControl/>
              <w:spacing w:after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RAN2</w:t>
            </w:r>
            <w:r>
              <w:rPr>
                <w:i/>
                <w:iCs/>
                <w:lang w:eastAsia="ja-JP"/>
              </w:rPr>
              <w:t xml:space="preserve"> should avoid increasing signalling overhead. </w:t>
            </w:r>
          </w:p>
          <w:p w:rsidR="007D15B4" w:rsidRDefault="00317CDD">
            <w:pPr>
              <w:widowControl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Calibri"/>
                <w:i/>
                <w:iCs/>
                <w:lang w:eastAsia="zh-CN"/>
              </w:rPr>
              <w:t>Note: LTE mobility enhancements should be used for baseline for fast handover failure recovery, Make-before-break and RACH-less handover.</w:t>
            </w:r>
          </w:p>
        </w:tc>
      </w:tr>
    </w:tbl>
    <w:p w:rsidR="007D15B4" w:rsidRDefault="007D15B4">
      <w:pPr>
        <w:rPr>
          <w:rFonts w:eastAsia="宋体"/>
          <w:lang w:val="en-US" w:eastAsia="zh-CN"/>
        </w:rPr>
      </w:pPr>
    </w:p>
    <w:p w:rsidR="007D15B4" w:rsidRDefault="00317CDD">
      <w:pPr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LBT mechanism may </w:t>
      </w:r>
      <w:r>
        <w:rPr>
          <w:bCs/>
        </w:rPr>
        <w:t>increase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bCs/>
        </w:rPr>
        <w:t>interruption time</w:t>
      </w:r>
      <w:r>
        <w:rPr>
          <w:rFonts w:eastAsia="宋体" w:hint="eastAsia"/>
          <w:bCs/>
          <w:lang w:val="en-US" w:eastAsia="zh-CN"/>
        </w:rPr>
        <w:t xml:space="preserve"> and even </w:t>
      </w:r>
      <w:r>
        <w:rPr>
          <w:rFonts w:eastAsia="宋体" w:hint="eastAsia"/>
          <w:lang w:val="en-US" w:eastAsia="zh-CN"/>
        </w:rPr>
        <w:t>result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 the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handover too late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in NR-U[2]. However, the common purpose of the enhancement for handover in NR and NR-U is to improve the reliability and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ja-JP"/>
        </w:rPr>
        <w:t>robustness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lastRenderedPageBreak/>
        <w:t>and reduce interruption time. Furthermore, the common solutions could solve the mobility problems for bot</w:t>
      </w:r>
      <w:r>
        <w:rPr>
          <w:rFonts w:eastAsia="宋体" w:hint="eastAsia"/>
          <w:lang w:val="en-US" w:eastAsia="zh-CN"/>
        </w:rPr>
        <w:t xml:space="preserve">h NR and NR-U, such as </w:t>
      </w:r>
      <w:r>
        <w:rPr>
          <w:rFonts w:eastAsia="宋体" w:cs="Calibri" w:hint="eastAsia"/>
          <w:szCs w:val="22"/>
          <w:lang w:val="en-US" w:eastAsia="zh-CN"/>
        </w:rPr>
        <w:t>c</w:t>
      </w:r>
      <w:r>
        <w:rPr>
          <w:rFonts w:cs="Calibri" w:hint="eastAsia"/>
          <w:szCs w:val="22"/>
          <w:lang w:val="en-US" w:eastAsia="ja-JP"/>
        </w:rPr>
        <w:t xml:space="preserve">onditional </w:t>
      </w:r>
      <w:r>
        <w:rPr>
          <w:rFonts w:hint="eastAsia"/>
          <w:szCs w:val="22"/>
          <w:lang w:val="en-US" w:eastAsia="ja-JP"/>
        </w:rPr>
        <w:t>handover</w:t>
      </w:r>
      <w:r>
        <w:rPr>
          <w:szCs w:val="22"/>
          <w:lang w:val="en-US" w:eastAsia="ja-JP"/>
        </w:rPr>
        <w:t xml:space="preserve">, </w:t>
      </w:r>
      <w:r>
        <w:rPr>
          <w:szCs w:val="22"/>
          <w:lang w:val="en-US" w:eastAsia="ja-JP"/>
        </w:rPr>
        <w:t>RACH-less handover</w:t>
      </w:r>
      <w:r>
        <w:rPr>
          <w:rFonts w:eastAsia="宋体" w:hint="eastAsia"/>
          <w:szCs w:val="22"/>
          <w:lang w:val="en-US" w:eastAsia="zh-CN"/>
        </w:rPr>
        <w:t>.</w:t>
      </w:r>
    </w:p>
    <w:p w:rsidR="007D15B4" w:rsidRDefault="00317CDD">
      <w:pPr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In addition, in RAN#81[4], a </w:t>
      </w:r>
      <w:r>
        <w:rPr>
          <w:rFonts w:eastAsia="宋体"/>
          <w:szCs w:val="22"/>
          <w:lang w:val="en-US" w:eastAsia="zh-CN"/>
        </w:rPr>
        <w:t>conclusion</w:t>
      </w:r>
      <w:r>
        <w:rPr>
          <w:rFonts w:eastAsia="宋体" w:hint="eastAsia"/>
          <w:szCs w:val="22"/>
          <w:lang w:val="en-US" w:eastAsia="zh-CN"/>
        </w:rPr>
        <w:t xml:space="preserve"> has been reached as follows.</w:t>
      </w:r>
    </w:p>
    <w:tbl>
      <w:tblPr>
        <w:tblStyle w:val="ae"/>
        <w:tblW w:w="9619" w:type="dxa"/>
        <w:tblLayout w:type="fixed"/>
        <w:tblLook w:val="04A0" w:firstRow="1" w:lastRow="0" w:firstColumn="1" w:lastColumn="0" w:noHBand="0" w:noVBand="1"/>
      </w:tblPr>
      <w:tblGrid>
        <w:gridCol w:w="9619"/>
      </w:tblGrid>
      <w:tr w:rsidR="007D15B4">
        <w:tc>
          <w:tcPr>
            <w:tcW w:w="9619" w:type="dxa"/>
          </w:tcPr>
          <w:p w:rsidR="007D15B4" w:rsidRDefault="00317CDD">
            <w:pPr>
              <w:widowControl/>
              <w:spacing w:after="0"/>
              <w:rPr>
                <w:rFonts w:eastAsia="宋体"/>
                <w:color w:val="000000"/>
                <w:sz w:val="20"/>
                <w:lang w:val="en-US" w:eastAsia="zh-CN"/>
              </w:rPr>
            </w:pPr>
            <w:r>
              <w:rPr>
                <w:rFonts w:cs="Calibri"/>
                <w:i/>
                <w:iCs/>
                <w:szCs w:val="22"/>
                <w:lang w:eastAsia="zh-CN"/>
              </w:rPr>
              <w:t>conclusion: principles of slide 4 are accepted: With respect to NR-U Connected Mode Mobility the</w:t>
            </w:r>
            <w:r>
              <w:rPr>
                <w:rFonts w:cs="Calibri" w:hint="eastAsia"/>
                <w:i/>
                <w:iCs/>
                <w:szCs w:val="22"/>
                <w:lang w:val="en-US" w:eastAsia="zh-CN"/>
              </w:rPr>
              <w:t xml:space="preserve"> </w:t>
            </w:r>
            <w:r>
              <w:rPr>
                <w:rFonts w:cs="Calibri"/>
                <w:i/>
                <w:iCs/>
                <w:szCs w:val="22"/>
                <w:lang w:eastAsia="zh-CN"/>
              </w:rPr>
              <w:t xml:space="preserve">scope of the NR-U SI </w:t>
            </w:r>
            <w:r>
              <w:rPr>
                <w:rFonts w:cs="Calibri"/>
                <w:i/>
                <w:iCs/>
                <w:szCs w:val="22"/>
                <w:lang w:eastAsia="zh-CN"/>
              </w:rPr>
              <w:t>includes to identify NR-U-specific problems and issues.  Solutions to the issues not expected</w:t>
            </w:r>
            <w:r>
              <w:rPr>
                <w:rFonts w:cs="Calibri" w:hint="eastAsia"/>
                <w:i/>
                <w:iCs/>
                <w:szCs w:val="22"/>
                <w:lang w:val="en-US" w:eastAsia="zh-CN"/>
              </w:rPr>
              <w:t xml:space="preserve"> </w:t>
            </w:r>
            <w:r>
              <w:rPr>
                <w:rFonts w:cs="Calibri"/>
                <w:i/>
                <w:iCs/>
                <w:szCs w:val="22"/>
                <w:lang w:eastAsia="zh-CN"/>
              </w:rPr>
              <w:t>to be covered in the NR Mobility WI, will be further studied in the NR-U SI.  Solutions overlapping with the NR</w:t>
            </w:r>
            <w:r>
              <w:rPr>
                <w:rFonts w:cs="Calibri" w:hint="eastAsia"/>
                <w:i/>
                <w:iCs/>
                <w:szCs w:val="22"/>
                <w:lang w:val="en-US" w:eastAsia="zh-CN"/>
              </w:rPr>
              <w:t xml:space="preserve"> </w:t>
            </w:r>
            <w:r>
              <w:rPr>
                <w:rFonts w:cs="Calibri"/>
                <w:i/>
                <w:iCs/>
                <w:szCs w:val="22"/>
                <w:lang w:eastAsia="zh-CN"/>
              </w:rPr>
              <w:t>mobility WI will be handled in the NR mobility WI.</w:t>
            </w:r>
          </w:p>
        </w:tc>
      </w:tr>
    </w:tbl>
    <w:p w:rsidR="007D15B4" w:rsidRDefault="007D15B4">
      <w:pPr>
        <w:spacing w:after="0"/>
        <w:rPr>
          <w:rFonts w:eastAsia="宋体"/>
          <w:color w:val="000000"/>
          <w:sz w:val="20"/>
          <w:lang w:val="en-US" w:eastAsia="zh-CN"/>
        </w:rPr>
      </w:pPr>
    </w:p>
    <w:p w:rsidR="007D15B4" w:rsidRDefault="00317CDD">
      <w:pPr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Based on it, common solutions should be handled in NR. Because </w:t>
      </w:r>
      <w:r>
        <w:rPr>
          <w:rFonts w:eastAsia="宋体"/>
          <w:szCs w:val="22"/>
          <w:lang w:val="en-US" w:eastAsia="zh-CN"/>
        </w:rPr>
        <w:t xml:space="preserve">it </w:t>
      </w:r>
      <w:r>
        <w:rPr>
          <w:rFonts w:eastAsia="宋体" w:hint="eastAsia"/>
          <w:szCs w:val="22"/>
          <w:lang w:val="en-US" w:eastAsia="zh-CN"/>
        </w:rPr>
        <w:t xml:space="preserve">is not clear </w:t>
      </w:r>
      <w:r>
        <w:rPr>
          <w:rFonts w:eastAsia="宋体"/>
          <w:szCs w:val="22"/>
          <w:lang w:val="en-US" w:eastAsia="zh-CN"/>
        </w:rPr>
        <w:t xml:space="preserve">yet whether or not </w:t>
      </w:r>
      <w:r>
        <w:rPr>
          <w:rFonts w:eastAsia="宋体" w:hint="eastAsia"/>
          <w:szCs w:val="22"/>
          <w:lang w:val="en-US" w:eastAsia="zh-CN"/>
        </w:rPr>
        <w:t>th</w:t>
      </w:r>
      <w:r>
        <w:rPr>
          <w:rFonts w:eastAsia="宋体"/>
          <w:szCs w:val="22"/>
          <w:lang w:val="en-US" w:eastAsia="zh-CN"/>
        </w:rPr>
        <w:t>ese</w:t>
      </w:r>
      <w:r>
        <w:rPr>
          <w:rFonts w:eastAsia="宋体" w:hint="eastAsia"/>
          <w:szCs w:val="22"/>
          <w:lang w:val="en-US" w:eastAsia="zh-CN"/>
        </w:rPr>
        <w:t xml:space="preserve"> common solutions </w:t>
      </w:r>
      <w:r>
        <w:rPr>
          <w:rFonts w:eastAsia="宋体"/>
          <w:szCs w:val="22"/>
          <w:lang w:val="en-US" w:eastAsia="zh-CN"/>
        </w:rPr>
        <w:t>are</w:t>
      </w:r>
      <w:r>
        <w:rPr>
          <w:rFonts w:eastAsia="宋体" w:hint="eastAsia"/>
          <w:szCs w:val="22"/>
          <w:lang w:val="en-US" w:eastAsia="zh-CN"/>
        </w:rPr>
        <w:t xml:space="preserve"> applicable for NR system in Rel-16, it is too early to introduce </w:t>
      </w:r>
      <w:r>
        <w:rPr>
          <w:rFonts w:eastAsia="宋体"/>
          <w:szCs w:val="22"/>
          <w:lang w:val="en-US" w:eastAsia="zh-CN"/>
        </w:rPr>
        <w:t>the</w:t>
      </w:r>
      <w:r>
        <w:rPr>
          <w:rFonts w:eastAsia="宋体" w:hint="eastAsia"/>
          <w:szCs w:val="22"/>
          <w:lang w:val="en-US" w:eastAsia="zh-CN"/>
        </w:rPr>
        <w:t xml:space="preserve"> common solution</w:t>
      </w:r>
      <w:r>
        <w:rPr>
          <w:rFonts w:eastAsia="宋体"/>
          <w:szCs w:val="22"/>
          <w:lang w:val="en-US" w:eastAsia="zh-CN"/>
        </w:rPr>
        <w:t>s</w:t>
      </w:r>
      <w:r>
        <w:rPr>
          <w:rFonts w:eastAsia="宋体" w:hint="eastAsia"/>
          <w:szCs w:val="22"/>
          <w:lang w:val="en-US" w:eastAsia="zh-CN"/>
        </w:rPr>
        <w:t xml:space="preserve"> for NR-U. Hence, in order to avoid the red</w:t>
      </w:r>
      <w:r>
        <w:rPr>
          <w:rFonts w:eastAsia="宋体" w:hint="eastAsia"/>
          <w:szCs w:val="22"/>
          <w:lang w:val="en-US" w:eastAsia="zh-CN"/>
        </w:rPr>
        <w:t>undant and incompatible work, NR-U should follow NR</w:t>
      </w:r>
      <w:r>
        <w:rPr>
          <w:rFonts w:eastAsia="宋体"/>
          <w:szCs w:val="22"/>
          <w:lang w:val="en-US" w:eastAsia="zh-CN"/>
        </w:rPr>
        <w:t>’s study</w:t>
      </w:r>
      <w:r>
        <w:rPr>
          <w:rFonts w:eastAsia="宋体" w:hint="eastAsia"/>
          <w:szCs w:val="22"/>
          <w:lang w:val="en-US" w:eastAsia="zh-CN"/>
        </w:rPr>
        <w:t xml:space="preserve">. </w:t>
      </w:r>
    </w:p>
    <w:p w:rsidR="007D15B4" w:rsidRDefault="00317CDD">
      <w:pPr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When NR makes some conclusion</w:t>
      </w:r>
      <w:r>
        <w:rPr>
          <w:rFonts w:eastAsia="宋体"/>
          <w:szCs w:val="22"/>
          <w:lang w:val="en-US" w:eastAsia="zh-CN"/>
        </w:rPr>
        <w:t>s</w:t>
      </w:r>
      <w:r>
        <w:rPr>
          <w:rFonts w:eastAsia="宋体"/>
          <w:szCs w:val="22"/>
          <w:lang w:val="en-US" w:eastAsia="zh-CN"/>
        </w:rPr>
        <w:t xml:space="preserve"> in NR mobility WI, if NR-U could identity the NR-U </w:t>
      </w:r>
      <w:r>
        <w:rPr>
          <w:rFonts w:eastAsia="宋体"/>
          <w:szCs w:val="22"/>
          <w:lang w:val="en-US" w:eastAsia="zh-CN"/>
        </w:rPr>
        <w:t xml:space="preserve">specific issues </w:t>
      </w:r>
      <w:r>
        <w:rPr>
          <w:rFonts w:eastAsia="宋体"/>
          <w:szCs w:val="22"/>
          <w:lang w:val="en-US" w:eastAsia="zh-CN"/>
        </w:rPr>
        <w:t xml:space="preserve">which cannot be solved by the solutions </w:t>
      </w:r>
      <w:r>
        <w:rPr>
          <w:rFonts w:eastAsia="宋体"/>
          <w:szCs w:val="22"/>
          <w:lang w:val="en-US" w:eastAsia="zh-CN"/>
        </w:rPr>
        <w:t>in</w:t>
      </w:r>
      <w:r>
        <w:rPr>
          <w:rFonts w:eastAsia="宋体"/>
          <w:szCs w:val="22"/>
          <w:lang w:val="en-US" w:eastAsia="zh-CN"/>
        </w:rPr>
        <w:t xml:space="preserve"> NR mobility WI, and then determine if it is necessary to enhance the handover procedure based on NR</w:t>
      </w:r>
      <w:r>
        <w:rPr>
          <w:rFonts w:eastAsia="宋体" w:hint="eastAsia"/>
          <w:szCs w:val="22"/>
          <w:lang w:val="en-US" w:eastAsia="zh-CN"/>
        </w:rPr>
        <w:t xml:space="preserve"> R16</w:t>
      </w:r>
      <w:r>
        <w:rPr>
          <w:rFonts w:eastAsia="宋体"/>
          <w:szCs w:val="22"/>
          <w:lang w:val="en-US" w:eastAsia="zh-CN"/>
        </w:rPr>
        <w:t xml:space="preserve">. </w:t>
      </w:r>
    </w:p>
    <w:p w:rsidR="007D15B4" w:rsidRDefault="00317CDD">
      <w:pPr>
        <w:jc w:val="both"/>
        <w:rPr>
          <w:rFonts w:eastAsia="宋体"/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1：</w:t>
      </w:r>
      <w:r>
        <w:rPr>
          <w:rFonts w:eastAsia="宋体"/>
          <w:b/>
          <w:bCs/>
          <w:szCs w:val="22"/>
          <w:lang w:val="en-US" w:eastAsia="zh-CN"/>
        </w:rPr>
        <w:t>Solutions overlapping with the NR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</w:t>
      </w:r>
      <w:r>
        <w:rPr>
          <w:rFonts w:eastAsia="宋体"/>
          <w:b/>
          <w:bCs/>
          <w:szCs w:val="22"/>
          <w:lang w:val="en-US" w:eastAsia="zh-CN"/>
        </w:rPr>
        <w:t>mobility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</w:t>
      </w:r>
      <w:r>
        <w:rPr>
          <w:rFonts w:eastAsia="宋体"/>
          <w:b/>
          <w:bCs/>
          <w:szCs w:val="22"/>
          <w:lang w:val="en-US" w:eastAsia="zh-CN"/>
        </w:rPr>
        <w:t>WI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should not be discussed in NR-U unless NR has made some conclusions.</w:t>
      </w:r>
    </w:p>
    <w:p w:rsidR="007D15B4" w:rsidRDefault="00317CDD">
      <w:pPr>
        <w:jc w:val="both"/>
        <w:rPr>
          <w:rFonts w:eastAsia="宋体"/>
          <w:b/>
          <w:bCs/>
          <w:szCs w:val="22"/>
          <w:lang w:val="en-US" w:eastAsia="zh-CN"/>
        </w:rPr>
      </w:pPr>
      <w:r>
        <w:rPr>
          <w:b/>
          <w:bCs/>
          <w:szCs w:val="22"/>
          <w:lang w:val="en-US" w:eastAsia="zh-CN"/>
        </w:rPr>
        <w:t>Proposal 2</w:t>
      </w:r>
      <w:r>
        <w:rPr>
          <w:rFonts w:hint="eastAsia"/>
          <w:b/>
          <w:bCs/>
          <w:szCs w:val="22"/>
          <w:lang w:val="en-US" w:eastAsia="zh-CN"/>
        </w:rPr>
        <w:t>：</w:t>
      </w:r>
      <w:r>
        <w:rPr>
          <w:b/>
          <w:bCs/>
          <w:szCs w:val="22"/>
          <w:lang w:val="en-US" w:eastAsia="zh-CN"/>
        </w:rPr>
        <w:t xml:space="preserve">After </w:t>
      </w:r>
      <w:r>
        <w:rPr>
          <w:rFonts w:eastAsia="宋体"/>
          <w:b/>
          <w:bCs/>
          <w:szCs w:val="22"/>
          <w:lang w:val="en-US" w:eastAsia="zh-CN"/>
        </w:rPr>
        <w:t>NR mak</w:t>
      </w:r>
      <w:r>
        <w:rPr>
          <w:rFonts w:eastAsia="宋体"/>
          <w:b/>
          <w:bCs/>
          <w:szCs w:val="22"/>
          <w:lang w:val="en-US" w:eastAsia="zh-CN"/>
        </w:rPr>
        <w:t>es some conclusion</w:t>
      </w:r>
      <w:r>
        <w:rPr>
          <w:rFonts w:eastAsia="宋体" w:hint="eastAsia"/>
          <w:b/>
          <w:bCs/>
          <w:szCs w:val="22"/>
          <w:lang w:val="en-US" w:eastAsia="zh-CN"/>
        </w:rPr>
        <w:t>s</w:t>
      </w:r>
      <w:r>
        <w:rPr>
          <w:rFonts w:eastAsia="宋体"/>
          <w:b/>
          <w:bCs/>
          <w:szCs w:val="22"/>
          <w:lang w:val="en-US" w:eastAsia="zh-CN"/>
        </w:rPr>
        <w:t xml:space="preserve"> in NR mobility WI, NR-U could determine whether or not to enhance the handover procedure based on NR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R16</w:t>
      </w:r>
      <w:r>
        <w:rPr>
          <w:rFonts w:eastAsia="宋体"/>
          <w:b/>
          <w:bCs/>
          <w:szCs w:val="22"/>
          <w:lang w:val="en-US" w:eastAsia="zh-CN"/>
        </w:rPr>
        <w:t xml:space="preserve">.  </w:t>
      </w:r>
    </w:p>
    <w:p w:rsidR="007D15B4" w:rsidRDefault="00317CDD">
      <w:pPr>
        <w:pStyle w:val="1"/>
      </w:pPr>
      <w:r>
        <w:t>4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</w:t>
      </w:r>
    </w:p>
    <w:p w:rsidR="007D15B4" w:rsidRDefault="00317CDD">
      <w:r>
        <w:t>The proposals are as follows:</w:t>
      </w:r>
    </w:p>
    <w:p w:rsidR="007D15B4" w:rsidRDefault="00317CDD">
      <w:pPr>
        <w:jc w:val="both"/>
        <w:rPr>
          <w:rFonts w:eastAsia="宋体"/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1：</w:t>
      </w:r>
      <w:r>
        <w:rPr>
          <w:rFonts w:eastAsia="宋体"/>
          <w:b/>
          <w:bCs/>
          <w:szCs w:val="22"/>
          <w:lang w:val="en-US" w:eastAsia="zh-CN"/>
        </w:rPr>
        <w:t>Solutions overlapping with the NR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</w:t>
      </w:r>
      <w:r>
        <w:rPr>
          <w:rFonts w:eastAsia="宋体"/>
          <w:b/>
          <w:bCs/>
          <w:szCs w:val="22"/>
          <w:lang w:val="en-US" w:eastAsia="zh-CN"/>
        </w:rPr>
        <w:t>mobility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</w:t>
      </w:r>
      <w:r>
        <w:rPr>
          <w:rFonts w:eastAsia="宋体"/>
          <w:b/>
          <w:bCs/>
          <w:szCs w:val="22"/>
          <w:lang w:val="en-US" w:eastAsia="zh-CN"/>
        </w:rPr>
        <w:t>WI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sho</w:t>
      </w:r>
      <w:r>
        <w:rPr>
          <w:rFonts w:eastAsia="宋体"/>
          <w:b/>
          <w:bCs/>
          <w:szCs w:val="22"/>
          <w:lang w:val="en-US" w:eastAsia="zh-CN"/>
        </w:rPr>
        <w:t>uld not be dis</w:t>
      </w:r>
      <w:r>
        <w:rPr>
          <w:rFonts w:eastAsia="宋体" w:hint="eastAsia"/>
          <w:b/>
          <w:bCs/>
          <w:szCs w:val="22"/>
          <w:lang w:val="en-US" w:eastAsia="zh-CN"/>
        </w:rPr>
        <w:t xml:space="preserve">cussed in </w:t>
      </w:r>
      <w:r>
        <w:rPr>
          <w:rFonts w:eastAsia="宋体" w:hint="eastAsia"/>
          <w:b/>
          <w:bCs/>
          <w:szCs w:val="22"/>
          <w:lang w:val="en-US" w:eastAsia="zh-CN"/>
        </w:rPr>
        <w:t>NR-U unless NR has made some conclusions.</w:t>
      </w:r>
    </w:p>
    <w:p w:rsidR="007D15B4" w:rsidRDefault="00317CDD">
      <w:pPr>
        <w:jc w:val="both"/>
        <w:rPr>
          <w:rFonts w:eastAsia="宋体"/>
          <w:b/>
          <w:bCs/>
          <w:szCs w:val="22"/>
          <w:lang w:val="en-US" w:eastAsia="zh-CN"/>
        </w:rPr>
      </w:pPr>
      <w:r>
        <w:rPr>
          <w:b/>
          <w:bCs/>
          <w:szCs w:val="22"/>
          <w:lang w:val="en-US" w:eastAsia="zh-CN"/>
        </w:rPr>
        <w:t>Proposal 2</w:t>
      </w:r>
      <w:r>
        <w:rPr>
          <w:rFonts w:hint="eastAsia"/>
          <w:b/>
          <w:bCs/>
          <w:szCs w:val="22"/>
          <w:lang w:val="en-US" w:eastAsia="zh-CN"/>
        </w:rPr>
        <w:t>：</w:t>
      </w:r>
      <w:r>
        <w:rPr>
          <w:b/>
          <w:bCs/>
          <w:szCs w:val="22"/>
          <w:lang w:val="en-US" w:eastAsia="zh-CN"/>
        </w:rPr>
        <w:t xml:space="preserve">After </w:t>
      </w:r>
      <w:r>
        <w:rPr>
          <w:rFonts w:eastAsia="宋体"/>
          <w:b/>
          <w:bCs/>
          <w:szCs w:val="22"/>
          <w:lang w:val="en-US" w:eastAsia="zh-CN"/>
        </w:rPr>
        <w:t>NR makes some conclusion</w:t>
      </w:r>
      <w:r>
        <w:rPr>
          <w:rFonts w:eastAsia="宋体" w:hint="eastAsia"/>
          <w:b/>
          <w:bCs/>
          <w:szCs w:val="22"/>
          <w:lang w:val="en-US" w:eastAsia="zh-CN"/>
        </w:rPr>
        <w:t>s</w:t>
      </w:r>
      <w:r>
        <w:rPr>
          <w:rFonts w:eastAsia="宋体"/>
          <w:b/>
          <w:bCs/>
          <w:szCs w:val="22"/>
          <w:lang w:val="en-US" w:eastAsia="zh-CN"/>
        </w:rPr>
        <w:t xml:space="preserve"> in NR mobility WI, NR-U could determine whether or not to enhance the handover procedure based on NR</w:t>
      </w:r>
      <w:r>
        <w:rPr>
          <w:rFonts w:eastAsia="宋体" w:hint="eastAsia"/>
          <w:b/>
          <w:bCs/>
          <w:szCs w:val="22"/>
          <w:lang w:val="en-US" w:eastAsia="zh-CN"/>
        </w:rPr>
        <w:t xml:space="preserve"> R16</w:t>
      </w:r>
      <w:r>
        <w:rPr>
          <w:rFonts w:eastAsia="宋体"/>
          <w:b/>
          <w:bCs/>
          <w:szCs w:val="22"/>
          <w:lang w:val="en-US" w:eastAsia="zh-CN"/>
        </w:rPr>
        <w:t xml:space="preserve">.  </w:t>
      </w:r>
    </w:p>
    <w:p w:rsidR="007D15B4" w:rsidRDefault="00317CDD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t>References</w:t>
      </w:r>
    </w:p>
    <w:p w:rsidR="007D15B4" w:rsidRDefault="00317CD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  <w:lang w:val="en-US" w:eastAsia="zh-CN"/>
        </w:rPr>
      </w:pPr>
      <w:bookmarkStart w:id="1" w:name="_Ref75086397"/>
      <w:r>
        <w:rPr>
          <w:rFonts w:hint="eastAsia"/>
          <w:szCs w:val="22"/>
          <w:lang w:val="en-US" w:eastAsia="zh-CN"/>
        </w:rPr>
        <w:t>RAN2#103, chairman notes</w:t>
      </w:r>
    </w:p>
    <w:p w:rsidR="007D15B4" w:rsidRDefault="00317CD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  <w:lang w:val="en-US" w:eastAsia="zh-CN"/>
        </w:rPr>
      </w:pPr>
      <w:r>
        <w:rPr>
          <w:sz w:val="22"/>
          <w:szCs w:val="22"/>
        </w:rPr>
        <w:t>R2-18xxxxx</w:t>
      </w:r>
      <w:r>
        <w:rPr>
          <w:rFonts w:hint="eastAsia"/>
          <w:szCs w:val="22"/>
          <w:lang w:val="en-US" w:eastAsia="zh-CN"/>
        </w:rPr>
        <w:t xml:space="preserve">, </w:t>
      </w:r>
      <w:r>
        <w:rPr>
          <w:szCs w:val="22"/>
          <w:lang w:val="en-US" w:eastAsia="zh-CN"/>
        </w:rPr>
        <w:t>“</w:t>
      </w:r>
      <w:r>
        <w:rPr>
          <w:sz w:val="22"/>
          <w:szCs w:val="22"/>
        </w:rPr>
        <w:t xml:space="preserve">Summary of </w:t>
      </w:r>
      <w:r>
        <w:rPr>
          <w:sz w:val="22"/>
          <w:szCs w:val="22"/>
        </w:rPr>
        <w:t>[103#56][NR-U] Connected Mode Mobility</w:t>
      </w:r>
      <w:r>
        <w:rPr>
          <w:szCs w:val="22"/>
          <w:lang w:val="en-US" w:eastAsia="zh-CN"/>
        </w:rPr>
        <w:t>”</w:t>
      </w:r>
      <w:r>
        <w:rPr>
          <w:rFonts w:hint="eastAsia"/>
          <w:szCs w:val="22"/>
          <w:lang w:val="en-US" w:eastAsia="zh-CN"/>
        </w:rPr>
        <w:t>,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</w:rPr>
        <w:t>InterDigital</w:t>
      </w:r>
      <w:r>
        <w:rPr>
          <w:rFonts w:eastAsia="宋体" w:hint="eastAsia"/>
          <w:sz w:val="22"/>
          <w:szCs w:val="22"/>
          <w:lang w:val="en-US" w:eastAsia="zh-CN"/>
        </w:rPr>
        <w:t xml:space="preserve"> </w:t>
      </w:r>
    </w:p>
    <w:p w:rsidR="007D15B4" w:rsidRDefault="00317CD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RP-181433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r>
        <w:rPr>
          <w:sz w:val="22"/>
          <w:szCs w:val="22"/>
          <w:lang w:val="en-US" w:eastAsia="zh-CN"/>
        </w:rPr>
        <w:t>“</w:t>
      </w:r>
      <w:r>
        <w:rPr>
          <w:sz w:val="22"/>
          <w:szCs w:val="22"/>
          <w:lang w:eastAsia="zh-CN"/>
        </w:rPr>
        <w:t>New WID: NR mobility enhancements</w:t>
      </w:r>
      <w:r>
        <w:rPr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 xml:space="preserve">,  </w:t>
      </w:r>
      <w:r>
        <w:rPr>
          <w:sz w:val="22"/>
          <w:szCs w:val="22"/>
          <w:lang w:val="en-US" w:eastAsia="ja-JP"/>
        </w:rPr>
        <w:t>Intel Corporation</w:t>
      </w:r>
    </w:p>
    <w:p w:rsidR="007D15B4" w:rsidRDefault="00317CD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>RAN#81, chairman notes</w:t>
      </w:r>
    </w:p>
    <w:p w:rsidR="007D15B4" w:rsidRDefault="007D15B4">
      <w:pPr>
        <w:overflowPunct w:val="0"/>
        <w:autoSpaceDE w:val="0"/>
        <w:autoSpaceDN w:val="0"/>
        <w:adjustRightInd w:val="0"/>
        <w:textAlignment w:val="baseline"/>
        <w:rPr>
          <w:szCs w:val="22"/>
        </w:rPr>
      </w:pPr>
    </w:p>
    <w:bookmarkEnd w:id="1"/>
    <w:p w:rsidR="007D15B4" w:rsidRDefault="007D15B4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</w:p>
    <w:sectPr w:rsidR="007D15B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CDD" w:rsidRDefault="00317CDD" w:rsidP="00BC7566">
      <w:pPr>
        <w:spacing w:after="0"/>
      </w:pPr>
      <w:r>
        <w:separator/>
      </w:r>
    </w:p>
  </w:endnote>
  <w:endnote w:type="continuationSeparator" w:id="0">
    <w:p w:rsidR="00317CDD" w:rsidRDefault="00317CDD" w:rsidP="00BC7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CDD" w:rsidRDefault="00317CDD" w:rsidP="00BC7566">
      <w:pPr>
        <w:spacing w:after="0"/>
      </w:pPr>
      <w:r>
        <w:separator/>
      </w:r>
    </w:p>
  </w:footnote>
  <w:footnote w:type="continuationSeparator" w:id="0">
    <w:p w:rsidR="00317CDD" w:rsidRDefault="00317CDD" w:rsidP="00BC7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C69F56"/>
    <w:multiLevelType w:val="multilevel"/>
    <w:tmpl w:val="B2C69F56"/>
    <w:lvl w:ilvl="0">
      <w:start w:val="2"/>
      <w:numFmt w:val="decimal"/>
      <w:lvlText w:val="%1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80512"/>
    <w:rsid w:val="00090468"/>
    <w:rsid w:val="00095B4E"/>
    <w:rsid w:val="000B7BCF"/>
    <w:rsid w:val="000C522B"/>
    <w:rsid w:val="000D58AB"/>
    <w:rsid w:val="00112F1A"/>
    <w:rsid w:val="00145075"/>
    <w:rsid w:val="00172A27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07A58"/>
    <w:rsid w:val="0022606D"/>
    <w:rsid w:val="00231728"/>
    <w:rsid w:val="00233D33"/>
    <w:rsid w:val="00260312"/>
    <w:rsid w:val="002747EC"/>
    <w:rsid w:val="002855BF"/>
    <w:rsid w:val="002957E3"/>
    <w:rsid w:val="002B5091"/>
    <w:rsid w:val="002F0D22"/>
    <w:rsid w:val="003172DC"/>
    <w:rsid w:val="00317CDD"/>
    <w:rsid w:val="0032272C"/>
    <w:rsid w:val="00325AE3"/>
    <w:rsid w:val="00326069"/>
    <w:rsid w:val="0035462D"/>
    <w:rsid w:val="00355D46"/>
    <w:rsid w:val="00364B41"/>
    <w:rsid w:val="003B40AD"/>
    <w:rsid w:val="003C4E37"/>
    <w:rsid w:val="003E16BE"/>
    <w:rsid w:val="003F4E28"/>
    <w:rsid w:val="004006E8"/>
    <w:rsid w:val="00401855"/>
    <w:rsid w:val="004433A9"/>
    <w:rsid w:val="004604CA"/>
    <w:rsid w:val="00464A92"/>
    <w:rsid w:val="00477455"/>
    <w:rsid w:val="004A1F7B"/>
    <w:rsid w:val="004C44D2"/>
    <w:rsid w:val="004D3578"/>
    <w:rsid w:val="004D380D"/>
    <w:rsid w:val="004E213A"/>
    <w:rsid w:val="004F7681"/>
    <w:rsid w:val="00503171"/>
    <w:rsid w:val="00506C28"/>
    <w:rsid w:val="00534DA0"/>
    <w:rsid w:val="00543E6C"/>
    <w:rsid w:val="00565087"/>
    <w:rsid w:val="0056573F"/>
    <w:rsid w:val="00566ADC"/>
    <w:rsid w:val="00581E8B"/>
    <w:rsid w:val="00611566"/>
    <w:rsid w:val="00646D99"/>
    <w:rsid w:val="00656910"/>
    <w:rsid w:val="0066335D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C095F"/>
    <w:rsid w:val="007D15B4"/>
    <w:rsid w:val="008028A4"/>
    <w:rsid w:val="008073F1"/>
    <w:rsid w:val="00813245"/>
    <w:rsid w:val="008145B2"/>
    <w:rsid w:val="00842EE1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61B32"/>
    <w:rsid w:val="009674EB"/>
    <w:rsid w:val="00970DB3"/>
    <w:rsid w:val="00974BB0"/>
    <w:rsid w:val="00996689"/>
    <w:rsid w:val="009A0AF3"/>
    <w:rsid w:val="009B07CD"/>
    <w:rsid w:val="009C19E9"/>
    <w:rsid w:val="009D74A6"/>
    <w:rsid w:val="009F56AC"/>
    <w:rsid w:val="00A00A9F"/>
    <w:rsid w:val="00A012CC"/>
    <w:rsid w:val="00A10F02"/>
    <w:rsid w:val="00A204CA"/>
    <w:rsid w:val="00A34B24"/>
    <w:rsid w:val="00A53724"/>
    <w:rsid w:val="00A82346"/>
    <w:rsid w:val="00A9671C"/>
    <w:rsid w:val="00AA1553"/>
    <w:rsid w:val="00AE1A46"/>
    <w:rsid w:val="00B05962"/>
    <w:rsid w:val="00B14A84"/>
    <w:rsid w:val="00B15449"/>
    <w:rsid w:val="00B2094A"/>
    <w:rsid w:val="00B27303"/>
    <w:rsid w:val="00B47FD1"/>
    <w:rsid w:val="00B516BB"/>
    <w:rsid w:val="00B80245"/>
    <w:rsid w:val="00BC3555"/>
    <w:rsid w:val="00BC7566"/>
    <w:rsid w:val="00C12B51"/>
    <w:rsid w:val="00C161FF"/>
    <w:rsid w:val="00C21A38"/>
    <w:rsid w:val="00C24650"/>
    <w:rsid w:val="00C33079"/>
    <w:rsid w:val="00C74404"/>
    <w:rsid w:val="00C83A13"/>
    <w:rsid w:val="00C9068C"/>
    <w:rsid w:val="00C92967"/>
    <w:rsid w:val="00CA3D0C"/>
    <w:rsid w:val="00CA654B"/>
    <w:rsid w:val="00CC4057"/>
    <w:rsid w:val="00CD4C7B"/>
    <w:rsid w:val="00CE288B"/>
    <w:rsid w:val="00D01F5B"/>
    <w:rsid w:val="00D03DA6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1B89"/>
    <w:rsid w:val="00F7353C"/>
    <w:rsid w:val="00F76210"/>
    <w:rsid w:val="00F76F8F"/>
    <w:rsid w:val="00FA1266"/>
    <w:rsid w:val="00FB36FA"/>
    <w:rsid w:val="00FC1192"/>
    <w:rsid w:val="00FE251B"/>
    <w:rsid w:val="0116108E"/>
    <w:rsid w:val="01694BD8"/>
    <w:rsid w:val="019D13F6"/>
    <w:rsid w:val="01EF12EA"/>
    <w:rsid w:val="02E338AA"/>
    <w:rsid w:val="032533EB"/>
    <w:rsid w:val="03363C59"/>
    <w:rsid w:val="04297108"/>
    <w:rsid w:val="06FA01DE"/>
    <w:rsid w:val="08452A25"/>
    <w:rsid w:val="088F5575"/>
    <w:rsid w:val="08A90A52"/>
    <w:rsid w:val="09844D5E"/>
    <w:rsid w:val="098567B2"/>
    <w:rsid w:val="09DE0473"/>
    <w:rsid w:val="09E84654"/>
    <w:rsid w:val="0D3E342B"/>
    <w:rsid w:val="0DF326B5"/>
    <w:rsid w:val="0E065AE3"/>
    <w:rsid w:val="110F22D7"/>
    <w:rsid w:val="116A1CB5"/>
    <w:rsid w:val="118632C1"/>
    <w:rsid w:val="11A65FCA"/>
    <w:rsid w:val="121175C2"/>
    <w:rsid w:val="12E65BBE"/>
    <w:rsid w:val="13616F49"/>
    <w:rsid w:val="13B47D6F"/>
    <w:rsid w:val="14385A71"/>
    <w:rsid w:val="14441851"/>
    <w:rsid w:val="148B20C4"/>
    <w:rsid w:val="14A33AFE"/>
    <w:rsid w:val="155C66F6"/>
    <w:rsid w:val="16165844"/>
    <w:rsid w:val="163D176B"/>
    <w:rsid w:val="1669790E"/>
    <w:rsid w:val="16797432"/>
    <w:rsid w:val="171049B2"/>
    <w:rsid w:val="17D2112E"/>
    <w:rsid w:val="180A67DE"/>
    <w:rsid w:val="182B7722"/>
    <w:rsid w:val="1BE807FE"/>
    <w:rsid w:val="1C2F129A"/>
    <w:rsid w:val="1CDE7DEE"/>
    <w:rsid w:val="1F2E79E5"/>
    <w:rsid w:val="1FC002D1"/>
    <w:rsid w:val="1FCC0B92"/>
    <w:rsid w:val="20F47C03"/>
    <w:rsid w:val="22AF4F0F"/>
    <w:rsid w:val="232259A5"/>
    <w:rsid w:val="237177BB"/>
    <w:rsid w:val="2435689E"/>
    <w:rsid w:val="251D5456"/>
    <w:rsid w:val="25466F85"/>
    <w:rsid w:val="26C25F68"/>
    <w:rsid w:val="2714736E"/>
    <w:rsid w:val="272F5392"/>
    <w:rsid w:val="2757312A"/>
    <w:rsid w:val="27C34BC3"/>
    <w:rsid w:val="27D179E5"/>
    <w:rsid w:val="281A227E"/>
    <w:rsid w:val="288F320A"/>
    <w:rsid w:val="28D43F8A"/>
    <w:rsid w:val="29C146D7"/>
    <w:rsid w:val="2A641F37"/>
    <w:rsid w:val="2A952AD4"/>
    <w:rsid w:val="2AA52FF0"/>
    <w:rsid w:val="2AC83CB6"/>
    <w:rsid w:val="2D1A4284"/>
    <w:rsid w:val="2D892970"/>
    <w:rsid w:val="2F4B04F2"/>
    <w:rsid w:val="2FDB0AAD"/>
    <w:rsid w:val="304459D0"/>
    <w:rsid w:val="30971510"/>
    <w:rsid w:val="314F118D"/>
    <w:rsid w:val="33DB2074"/>
    <w:rsid w:val="34000CE2"/>
    <w:rsid w:val="345F4DA6"/>
    <w:rsid w:val="347905D3"/>
    <w:rsid w:val="37000CC2"/>
    <w:rsid w:val="370D280E"/>
    <w:rsid w:val="377F719B"/>
    <w:rsid w:val="38144D9F"/>
    <w:rsid w:val="39B03C06"/>
    <w:rsid w:val="3A020943"/>
    <w:rsid w:val="3B30327E"/>
    <w:rsid w:val="3BCF6947"/>
    <w:rsid w:val="3C154F2B"/>
    <w:rsid w:val="3C9254F7"/>
    <w:rsid w:val="3D774D88"/>
    <w:rsid w:val="3DA12EBB"/>
    <w:rsid w:val="3DE31A0C"/>
    <w:rsid w:val="3EB524C5"/>
    <w:rsid w:val="3F3976AA"/>
    <w:rsid w:val="3F89577A"/>
    <w:rsid w:val="3FDD6073"/>
    <w:rsid w:val="40945344"/>
    <w:rsid w:val="40D76974"/>
    <w:rsid w:val="40E547DE"/>
    <w:rsid w:val="4202192E"/>
    <w:rsid w:val="42D937DA"/>
    <w:rsid w:val="44776442"/>
    <w:rsid w:val="447D554E"/>
    <w:rsid w:val="44AA462C"/>
    <w:rsid w:val="45B63BA6"/>
    <w:rsid w:val="45CE6CFC"/>
    <w:rsid w:val="460A6D31"/>
    <w:rsid w:val="46E35538"/>
    <w:rsid w:val="47EF4840"/>
    <w:rsid w:val="486E36E4"/>
    <w:rsid w:val="49450228"/>
    <w:rsid w:val="498F34AA"/>
    <w:rsid w:val="4A142DCE"/>
    <w:rsid w:val="4A2B66AE"/>
    <w:rsid w:val="4A645B8E"/>
    <w:rsid w:val="4B466483"/>
    <w:rsid w:val="4B7C3838"/>
    <w:rsid w:val="4BE50623"/>
    <w:rsid w:val="4C557F67"/>
    <w:rsid w:val="4D441A37"/>
    <w:rsid w:val="4E556C52"/>
    <w:rsid w:val="4EAE23A0"/>
    <w:rsid w:val="4EFD3A58"/>
    <w:rsid w:val="4F132518"/>
    <w:rsid w:val="4F204281"/>
    <w:rsid w:val="4F987877"/>
    <w:rsid w:val="507C35D0"/>
    <w:rsid w:val="518A178F"/>
    <w:rsid w:val="51A153DF"/>
    <w:rsid w:val="51BE1838"/>
    <w:rsid w:val="53E204E1"/>
    <w:rsid w:val="54317F7A"/>
    <w:rsid w:val="550A69DF"/>
    <w:rsid w:val="552E5193"/>
    <w:rsid w:val="553912E4"/>
    <w:rsid w:val="554D7288"/>
    <w:rsid w:val="564D336A"/>
    <w:rsid w:val="56914AEF"/>
    <w:rsid w:val="56C04262"/>
    <w:rsid w:val="5706248B"/>
    <w:rsid w:val="576014A2"/>
    <w:rsid w:val="57AB36E7"/>
    <w:rsid w:val="58106B1B"/>
    <w:rsid w:val="5813536E"/>
    <w:rsid w:val="582D4836"/>
    <w:rsid w:val="5830658E"/>
    <w:rsid w:val="59700B8A"/>
    <w:rsid w:val="59AC3A5A"/>
    <w:rsid w:val="5A126540"/>
    <w:rsid w:val="5B2F27B5"/>
    <w:rsid w:val="5C510976"/>
    <w:rsid w:val="5C7646BF"/>
    <w:rsid w:val="5CC95D13"/>
    <w:rsid w:val="5E421AAA"/>
    <w:rsid w:val="5E791305"/>
    <w:rsid w:val="5E825BEE"/>
    <w:rsid w:val="5E995EAD"/>
    <w:rsid w:val="5EEE5D55"/>
    <w:rsid w:val="5EF27E57"/>
    <w:rsid w:val="600D3D37"/>
    <w:rsid w:val="602A761F"/>
    <w:rsid w:val="604019CB"/>
    <w:rsid w:val="604F3F08"/>
    <w:rsid w:val="60A877A7"/>
    <w:rsid w:val="60D870B9"/>
    <w:rsid w:val="618A2D22"/>
    <w:rsid w:val="633A0C51"/>
    <w:rsid w:val="6367315D"/>
    <w:rsid w:val="6393557F"/>
    <w:rsid w:val="644D672D"/>
    <w:rsid w:val="64512F0C"/>
    <w:rsid w:val="657229C2"/>
    <w:rsid w:val="65745B9C"/>
    <w:rsid w:val="6583394F"/>
    <w:rsid w:val="66921F83"/>
    <w:rsid w:val="679642E0"/>
    <w:rsid w:val="69436B01"/>
    <w:rsid w:val="6A364808"/>
    <w:rsid w:val="6A5F41C2"/>
    <w:rsid w:val="6AC53C1B"/>
    <w:rsid w:val="6ADD50B0"/>
    <w:rsid w:val="6AEA46BB"/>
    <w:rsid w:val="6B5E5193"/>
    <w:rsid w:val="6B944B4F"/>
    <w:rsid w:val="6BD91A4D"/>
    <w:rsid w:val="6D3F5A05"/>
    <w:rsid w:val="6D550AB0"/>
    <w:rsid w:val="6D7E64CB"/>
    <w:rsid w:val="6D9519D3"/>
    <w:rsid w:val="6DA63325"/>
    <w:rsid w:val="6E682640"/>
    <w:rsid w:val="6E72776E"/>
    <w:rsid w:val="6ECA0B83"/>
    <w:rsid w:val="6FCC3088"/>
    <w:rsid w:val="701D6733"/>
    <w:rsid w:val="70401A20"/>
    <w:rsid w:val="7169662E"/>
    <w:rsid w:val="71EB43E4"/>
    <w:rsid w:val="7224137B"/>
    <w:rsid w:val="72573ABD"/>
    <w:rsid w:val="72804DF0"/>
    <w:rsid w:val="73E273C5"/>
    <w:rsid w:val="7413251A"/>
    <w:rsid w:val="744B53A1"/>
    <w:rsid w:val="744F3675"/>
    <w:rsid w:val="755D2FE2"/>
    <w:rsid w:val="75D772F5"/>
    <w:rsid w:val="76280E0B"/>
    <w:rsid w:val="76687156"/>
    <w:rsid w:val="766E4E96"/>
    <w:rsid w:val="776764EE"/>
    <w:rsid w:val="78906EBB"/>
    <w:rsid w:val="792C7766"/>
    <w:rsid w:val="793C2E96"/>
    <w:rsid w:val="7A530FAF"/>
    <w:rsid w:val="7A5C7337"/>
    <w:rsid w:val="7A6E38C9"/>
    <w:rsid w:val="7AD84455"/>
    <w:rsid w:val="7ADA4BF0"/>
    <w:rsid w:val="7AEF6AB5"/>
    <w:rsid w:val="7B0B0F8B"/>
    <w:rsid w:val="7B376AAE"/>
    <w:rsid w:val="7B8C1C16"/>
    <w:rsid w:val="7BE865D5"/>
    <w:rsid w:val="7C225253"/>
    <w:rsid w:val="7CF617BD"/>
    <w:rsid w:val="7DCB5435"/>
    <w:rsid w:val="7E231DB9"/>
    <w:rsid w:val="7E465757"/>
    <w:rsid w:val="7E9D4653"/>
    <w:rsid w:val="7EF16366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4E1235-7F61-4940-9C90-784BA426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6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a7">
    <w:name w:val="Body Text"/>
    <w:basedOn w:val="a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qFormat/>
    <w:rPr>
      <w:sz w:val="24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21"/>
      <w:szCs w:val="21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6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8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2Char">
    <w:name w:val="标题 2 Char"/>
    <w:link w:val="2"/>
    <w:uiPriority w:val="9"/>
    <w:qFormat/>
    <w:rPr>
      <w:rFonts w:ascii="Arial" w:eastAsia="Times New Roman" w:hAnsi="Arial"/>
      <w:sz w:val="32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5"/>
    <w:qFormat/>
    <w:rPr>
      <w:rFonts w:eastAsia="Times New Roman"/>
      <w:sz w:val="21"/>
      <w:lang w:val="en-GB" w:eastAsia="en-US"/>
    </w:rPr>
  </w:style>
  <w:style w:type="character" w:customStyle="1" w:styleId="Char">
    <w:name w:val="批注主题 Char"/>
    <w:basedOn w:val="Char0"/>
    <w:link w:val="a4"/>
    <w:qFormat/>
    <w:rPr>
      <w:rFonts w:eastAsia="Times New Roman"/>
      <w:b/>
      <w:bCs/>
      <w:sz w:val="21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hAnsi="Arial"/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Style5">
    <w:name w:val="_Style 5"/>
    <w:basedOn w:val="a"/>
    <w:uiPriority w:val="34"/>
    <w:qFormat/>
    <w:pPr>
      <w:ind w:leftChars="400" w:left="840"/>
    </w:pPr>
  </w:style>
  <w:style w:type="paragraph" w:customStyle="1" w:styleId="Doc-title">
    <w:name w:val="Doc-title"/>
    <w:basedOn w:val="a"/>
    <w:next w:val="Doc-text2"/>
    <w:qFormat/>
    <w:pPr>
      <w:spacing w:before="60" w:after="0"/>
      <w:ind w:left="1259" w:hanging="1259"/>
    </w:pPr>
    <w:rPr>
      <w:rFonts w:eastAsia="MS Mincho"/>
      <w:szCs w:val="24"/>
      <w:lang w:eastAsia="en-GB"/>
    </w:rPr>
  </w:style>
  <w:style w:type="paragraph" w:customStyle="1" w:styleId="Reference">
    <w:name w:val="Reference"/>
    <w:basedOn w:val="a"/>
    <w:qFormat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3685</Characters>
  <Application>Microsoft Office Word</Application>
  <DocSecurity>0</DocSecurity>
  <Lines>30</Lines>
  <Paragraphs>8</Paragraphs>
  <ScaleCrop>false</ScaleCrop>
  <Company>Nokia Siemens Networks</Company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2</cp:revision>
  <dcterms:created xsi:type="dcterms:W3CDTF">2018-09-27T17:09:00Z</dcterms:created>
  <dcterms:modified xsi:type="dcterms:W3CDTF">2018-09-27T17:09:00Z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2052-10.8.2.6613</vt:lpwstr>
  </property>
</Properties>
</file>